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11AF" w14:textId="2275EF59" w:rsidR="002A5C2B" w:rsidRPr="002A5C2B" w:rsidRDefault="006038CD" w:rsidP="002A5C2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El </w:t>
      </w:r>
      <w:r w:rsidR="002A5C2B" w:rsidRPr="002A5C2B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Peso chileno</w:t>
      </w:r>
      <w:r w:rsidR="005770D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gana terreno frente al </w:t>
      </w:r>
      <w:proofErr w:type="gramStart"/>
      <w:r w:rsid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D</w:t>
      </w:r>
      <w:r w:rsidR="00CF714D" w:rsidRP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ólar</w:t>
      </w:r>
      <w:proofErr w:type="gramEnd"/>
      <w:r w:rsidR="00CF714D" w:rsidRP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 tras publicación del </w:t>
      </w:r>
      <w:r w:rsid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P</w:t>
      </w:r>
      <w:r w:rsidR="00CF714D" w:rsidRP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roducto </w:t>
      </w:r>
      <w:r w:rsid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I</w:t>
      </w:r>
      <w:r w:rsidR="00CF714D" w:rsidRP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 xml:space="preserve">nterior </w:t>
      </w:r>
      <w:r w:rsid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B</w:t>
      </w:r>
      <w:r w:rsidR="00CF714D" w:rsidRPr="00CF714D">
        <w:rPr>
          <w:rFonts w:ascii="Calibri" w:eastAsia="Times New Roman" w:hAnsi="Calibri" w:cs="Calibri"/>
          <w:color w:val="000000"/>
          <w:kern w:val="0"/>
          <w:sz w:val="36"/>
          <w:szCs w:val="36"/>
          <w:lang w:eastAsia="es-MX"/>
          <w14:ligatures w14:val="none"/>
        </w:rPr>
        <w:t>ruto</w:t>
      </w:r>
    </w:p>
    <w:p w14:paraId="16B88795" w14:textId="74567C8C" w:rsidR="008D4E0C" w:rsidRPr="008D4E0C" w:rsidRDefault="00E77901" w:rsidP="008D4E0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USD/CLP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pierde</w:t>
      </w:r>
      <w:r w:rsidR="00536AA9" w:rsidRPr="00536AA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un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1.35</w:t>
      </w:r>
      <w:r w:rsidR="00E8415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%,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diario</w:t>
      </w:r>
      <w:r w:rsidR="00427BB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</w:p>
    <w:p w14:paraId="14E3444A" w14:textId="61F03810" w:rsidR="00494EDD" w:rsidRPr="00494EDD" w:rsidRDefault="00CF714D" w:rsidP="00494ED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es-MX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 Producto</w:t>
      </w: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I</w:t>
      </w: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nterior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B</w:t>
      </w: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ruto </w:t>
      </w:r>
      <w:r w:rsid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(PIB) </w:t>
      </w: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de Chile presentó un incremento de un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1.</w:t>
      </w: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6% anual ubicándose por debajo de las estimaciones</w:t>
      </w:r>
      <w:r w:rsidR="00374C2E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  <w:r w:rsidR="00494EDD" w:rsidRPr="00494ED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</w:p>
    <w:p w14:paraId="69E3189D" w14:textId="2D80F8A6" w:rsidR="00494EDD" w:rsidRPr="00494EDD" w:rsidRDefault="00842C6B" w:rsidP="00494ED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842C6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Los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inversionistas estarán atentos a la decisión de tipos de interés por parte del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B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anco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Ce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ntral de China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al cierre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de la sesión americana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</w:p>
    <w:p w14:paraId="72FCEEE4" w14:textId="639C1ED4" w:rsidR="00040C4F" w:rsidRPr="00DD1E89" w:rsidRDefault="00040C4F" w:rsidP="00494ED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:lang w:eastAsia="es-MX"/>
          <w14:ligatures w14:val="none"/>
        </w:rPr>
      </w:pPr>
    </w:p>
    <w:p w14:paraId="5D44647F" w14:textId="77777777" w:rsidR="002A5C2B" w:rsidRPr="002A5C2B" w:rsidRDefault="002A5C2B" w:rsidP="002A5C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3D0354E" w14:textId="576B8AFD" w:rsidR="002A5C2B" w:rsidRDefault="002A5C2B" w:rsidP="002A5C2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2A5C2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</w:t>
      </w:r>
      <w:r w:rsidR="007F6BF4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Pr="002A5C2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USD/CLP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alcanzó un máximo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del día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 940.09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encontrando vendedores agresivos que llevaron la paridad a un mínimo diario en 927.11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Actualmente</w:t>
      </w:r>
      <w:r w:rsidR="00D421F9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 e</w:t>
      </w:r>
      <w:r w:rsidR="00343FFB" w:rsidRPr="00343FF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 dólar estadounidense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opera en</w:t>
      </w:r>
      <w:r w:rsidR="00080B84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927.59</w:t>
      </w:r>
      <w:r w:rsidR="00080B84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frente al Peso chileno</w:t>
      </w:r>
      <w:r w:rsidR="00C22E5C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92589A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perdiendo un 1.35%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CF714D"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 la jornada del día de hoy.</w:t>
      </w:r>
    </w:p>
    <w:p w14:paraId="6CC6CC0D" w14:textId="77777777" w:rsidR="00C317D8" w:rsidRDefault="00C317D8" w:rsidP="002A5C2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57FBC952" w14:textId="4A40E631" w:rsidR="007819DB" w:rsidRDefault="00CF714D" w:rsidP="004E0C98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</w:t>
      </w:r>
      <w:r w:rsidRPr="00CF714D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eso chileno opera en terreno positivo</w:t>
      </w:r>
      <w:r w:rsidR="00102BB7"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</w:t>
      </w:r>
      <w:r w:rsidR="00102BB7"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osterior a la publicación </w:t>
      </w:r>
      <w:r w:rsid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del</w:t>
      </w:r>
      <w:r w:rsidR="00102BB7"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</w:t>
      </w:r>
      <w:r w:rsidR="00102BB7"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roducto </w:t>
      </w:r>
      <w:r w:rsid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I</w:t>
      </w:r>
      <w:r w:rsidR="00102BB7"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nterior </w:t>
      </w:r>
      <w:r w:rsid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B</w:t>
      </w:r>
      <w:r w:rsidR="00102BB7"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ruto</w:t>
      </w:r>
      <w:r w:rsid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(PIB)</w:t>
      </w:r>
    </w:p>
    <w:p w14:paraId="123FF114" w14:textId="19842354" w:rsidR="006D5290" w:rsidRDefault="00102BB7" w:rsidP="002A5C2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Con base en información del </w:t>
      </w:r>
      <w:r w:rsid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B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anco </w:t>
      </w:r>
      <w:r w:rsid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C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entral de Chile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durante el segundo trimestre de 2024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roducto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I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nterno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B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ruto creció un 1.6%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6201F5"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impulsado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principalmente</w:t>
      </w:r>
      <w:r w:rsidR="006201F5"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por los sectores de minería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6201F5"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comercio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6201F5"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transporte y </w:t>
      </w:r>
      <w:r w:rsidR="006201F5"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eléctrico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 Este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resultado es menor a las estimaciones del 1.8% y del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2.3% registrado </w:t>
      </w:r>
      <w:r w:rsid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en </w:t>
      </w:r>
      <w:r w:rsidRPr="00102B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trimestre 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anterior.</w:t>
      </w:r>
    </w:p>
    <w:p w14:paraId="14A471CF" w14:textId="69B05730" w:rsidR="006A788B" w:rsidRDefault="006A788B" w:rsidP="002A5C2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Los inversores tendrán el foco en el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B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anco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C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entral de China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cuando 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de a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conocer la decisión de tipos de interés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al concluir la sesión americana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 consenso de los analistas espera que las tasas se mantengan sin cambios en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un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3.35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%, 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Después de haber recortado 10 puntos básicos en su última reunión del 19 de junio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en un intento por incentivar la actividad económica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</w:t>
      </w:r>
      <w:r w:rsidRPr="006A788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industrial e inmobiliaria</w:t>
      </w:r>
      <w:r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</w:p>
    <w:p w14:paraId="107AA8FE" w14:textId="77777777" w:rsidR="00102BB7" w:rsidRDefault="00102BB7" w:rsidP="002A5C2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</w:p>
    <w:p w14:paraId="4AC8C7A8" w14:textId="31B67BEA" w:rsidR="002A5C2B" w:rsidRPr="00A3343F" w:rsidRDefault="002A5C2B" w:rsidP="002A5C2B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2A5C2B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 xml:space="preserve">Niveles técnicos en </w:t>
      </w:r>
      <w:r w:rsidR="00D44F93">
        <w:rPr>
          <w:rFonts w:ascii="Calibri" w:eastAsia="Times New Roman" w:hAnsi="Calibri" w:cs="Calibri"/>
          <w:color w:val="000000"/>
          <w:kern w:val="0"/>
          <w:sz w:val="28"/>
          <w:szCs w:val="28"/>
          <w:lang w:eastAsia="es-MX"/>
          <w14:ligatures w14:val="none"/>
        </w:rPr>
        <w:t>el USD/CLP</w:t>
      </w:r>
    </w:p>
    <w:p w14:paraId="4AD42A5D" w14:textId="4FA23BDB" w:rsidR="00386E88" w:rsidRDefault="00CA7B58" w:rsidP="00AA23A5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</w:pPr>
      <w:r w:rsidRPr="00CA7B58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El </w:t>
      </w:r>
      <w:r w:rsidR="007C08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USD/CLP 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ha reaccionado a la baja en la resistencia 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ubicada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940.05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que confluye con el retroceso al 50% de Fibonacci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 primer soporte lo encontramos en 904.90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,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mínimo del 15 de 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j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ulio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. 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La siguiente zona de soporte clave está en 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8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81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85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, punto 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pivote del 20 de mayo</w:t>
      </w:r>
      <w:r w:rsidR="00834EE6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El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Índice de 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F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uerza 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R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elativa se encuentra en 42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.15,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indicando una presión vendedora consistente </w:t>
      </w:r>
      <w:r w:rsidR="006201F5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con</w:t>
      </w:r>
      <w:r w:rsidR="00C91F53" w:rsidRP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proyección a explorar niveles inferiores</w:t>
      </w:r>
      <w:r w:rsidR="00C91F53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.</w:t>
      </w:r>
    </w:p>
    <w:p w14:paraId="455187F7" w14:textId="69F8A693" w:rsidR="009E0BF2" w:rsidRPr="009E0BF2" w:rsidRDefault="002A5C2B" w:rsidP="00DA5F5E">
      <w:pPr>
        <w:spacing w:line="240" w:lineRule="auto"/>
        <w:jc w:val="both"/>
      </w:pPr>
      <w:r w:rsidRPr="002A5C2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Gráfico </w:t>
      </w:r>
      <w:r w:rsidR="007C08B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diario</w:t>
      </w:r>
      <w:r w:rsidRPr="002A5C2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 xml:space="preserve"> del Peso </w:t>
      </w:r>
      <w:r w:rsidR="00F36407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c</w:t>
      </w:r>
      <w:r w:rsidRPr="002A5C2B">
        <w:rPr>
          <w:rFonts w:ascii="Calibri" w:eastAsia="Times New Roman" w:hAnsi="Calibri" w:cs="Calibri"/>
          <w:color w:val="000000"/>
          <w:kern w:val="0"/>
          <w:sz w:val="26"/>
          <w:szCs w:val="26"/>
          <w:lang w:eastAsia="es-MX"/>
          <w14:ligatures w14:val="none"/>
        </w:rPr>
        <w:t>hileno</w:t>
      </w:r>
    </w:p>
    <w:p w14:paraId="1CE772B2" w14:textId="30703476" w:rsidR="00C91F53" w:rsidRPr="00C91F53" w:rsidRDefault="00C91F53" w:rsidP="00C91F53">
      <w:pPr>
        <w:pStyle w:val="NormalWeb"/>
      </w:pPr>
      <w:r w:rsidRPr="00C91F53">
        <w:lastRenderedPageBreak/>
        <w:drawing>
          <wp:inline distT="0" distB="0" distL="0" distR="0" wp14:anchorId="2914C572" wp14:editId="5E9F041B">
            <wp:extent cx="5612130" cy="2261870"/>
            <wp:effectExtent l="0" t="0" r="7620" b="5080"/>
            <wp:docPr id="4620262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0B29" w14:textId="2D0DCC0B" w:rsidR="00834EE6" w:rsidRPr="00834EE6" w:rsidRDefault="00834EE6" w:rsidP="00834EE6">
      <w:pPr>
        <w:pStyle w:val="NormalWeb"/>
      </w:pPr>
    </w:p>
    <w:p w14:paraId="5BB5BF9B" w14:textId="0FB4F0BC" w:rsidR="00DA5F5E" w:rsidRPr="00DA5F5E" w:rsidRDefault="00DA5F5E" w:rsidP="00DA5F5E">
      <w:pPr>
        <w:pStyle w:val="NormalWeb"/>
      </w:pPr>
    </w:p>
    <w:p w14:paraId="13CC6817" w14:textId="4F6D982E" w:rsidR="00CD0118" w:rsidRPr="00CD0118" w:rsidRDefault="00CD0118" w:rsidP="00CD0118">
      <w:pPr>
        <w:pStyle w:val="NormalWeb"/>
      </w:pPr>
    </w:p>
    <w:p w14:paraId="0921B09D" w14:textId="35AB91AC" w:rsidR="00386E88" w:rsidRPr="00386E88" w:rsidRDefault="00386E88" w:rsidP="00386E88">
      <w:pPr>
        <w:pStyle w:val="NormalWeb"/>
      </w:pPr>
    </w:p>
    <w:p w14:paraId="48872808" w14:textId="720810A4" w:rsidR="00D22968" w:rsidRPr="00D22968" w:rsidRDefault="00D22968" w:rsidP="00D22968">
      <w:pPr>
        <w:pStyle w:val="NormalWeb"/>
      </w:pPr>
    </w:p>
    <w:p w14:paraId="41084D13" w14:textId="15581936" w:rsidR="007C08B7" w:rsidRPr="007C08B7" w:rsidRDefault="007C08B7" w:rsidP="007C08B7">
      <w:pPr>
        <w:pStyle w:val="NormalWeb"/>
      </w:pPr>
    </w:p>
    <w:p w14:paraId="696FEF08" w14:textId="6E0ACE62" w:rsidR="00680D1B" w:rsidRPr="00680D1B" w:rsidRDefault="00680D1B" w:rsidP="00680D1B">
      <w:pPr>
        <w:pStyle w:val="NormalWeb"/>
      </w:pPr>
    </w:p>
    <w:p w14:paraId="0CD9286D" w14:textId="72A9DFB6" w:rsidR="004E0C98" w:rsidRPr="004E0C98" w:rsidRDefault="004E0C98" w:rsidP="004E0C98">
      <w:pPr>
        <w:pStyle w:val="NormalWeb"/>
      </w:pPr>
    </w:p>
    <w:p w14:paraId="30FCF6ED" w14:textId="7941CDAF" w:rsidR="009B5C16" w:rsidRPr="009B5C16" w:rsidRDefault="009B5C16" w:rsidP="009B5C16">
      <w:pPr>
        <w:pStyle w:val="NormalWeb"/>
      </w:pPr>
    </w:p>
    <w:p w14:paraId="1A2E5629" w14:textId="0D75CD4B" w:rsidR="00D43312" w:rsidRPr="00D43312" w:rsidRDefault="00D43312" w:rsidP="00D43312">
      <w:pPr>
        <w:pStyle w:val="NormalWeb"/>
      </w:pPr>
    </w:p>
    <w:p w14:paraId="71FBE915" w14:textId="5F6D7DC4" w:rsidR="00F37A7C" w:rsidRPr="00F37A7C" w:rsidRDefault="00F37A7C" w:rsidP="00F37A7C">
      <w:pPr>
        <w:pStyle w:val="NormalWeb"/>
      </w:pPr>
    </w:p>
    <w:p w14:paraId="755D2B98" w14:textId="1434EE56" w:rsidR="0048516D" w:rsidRDefault="0048516D" w:rsidP="0048516D">
      <w:pPr>
        <w:pStyle w:val="NormalWeb"/>
      </w:pPr>
    </w:p>
    <w:p w14:paraId="7AF8BE20" w14:textId="09F5CA64" w:rsidR="000B0B95" w:rsidRDefault="000B0B95" w:rsidP="000B0B95">
      <w:pPr>
        <w:pStyle w:val="NormalWeb"/>
      </w:pPr>
    </w:p>
    <w:p w14:paraId="7AA4EDCE" w14:textId="167CD20E" w:rsidR="007B1339" w:rsidRDefault="007B1339" w:rsidP="007B1339">
      <w:pPr>
        <w:pStyle w:val="NormalWeb"/>
      </w:pPr>
    </w:p>
    <w:p w14:paraId="02278A25" w14:textId="3C244939" w:rsidR="00902FA7" w:rsidRDefault="00902FA7" w:rsidP="00902FA7">
      <w:pPr>
        <w:pStyle w:val="NormalWeb"/>
      </w:pPr>
    </w:p>
    <w:p w14:paraId="063776B3" w14:textId="56567AE4" w:rsidR="00CA784B" w:rsidRDefault="00CA784B" w:rsidP="00CA784B">
      <w:pPr>
        <w:pStyle w:val="NormalWeb"/>
      </w:pPr>
    </w:p>
    <w:p w14:paraId="59759438" w14:textId="7BC03429" w:rsidR="00523F1B" w:rsidRDefault="00523F1B" w:rsidP="00523F1B">
      <w:pPr>
        <w:pStyle w:val="NormalWeb"/>
      </w:pPr>
    </w:p>
    <w:p w14:paraId="3A976341" w14:textId="3F3BA40F" w:rsidR="00BF6B84" w:rsidRDefault="00BF6B84" w:rsidP="00BF6B84">
      <w:pPr>
        <w:pStyle w:val="NormalWeb"/>
      </w:pPr>
    </w:p>
    <w:p w14:paraId="41B0037B" w14:textId="4BA4BB9A" w:rsidR="00277034" w:rsidRDefault="00277034" w:rsidP="00277034">
      <w:pPr>
        <w:pStyle w:val="NormalWeb"/>
      </w:pPr>
    </w:p>
    <w:p w14:paraId="0C642EF7" w14:textId="11F33EDC" w:rsidR="00F86860" w:rsidRDefault="00F86860" w:rsidP="00F86860">
      <w:pPr>
        <w:pStyle w:val="NormalWeb"/>
      </w:pPr>
    </w:p>
    <w:p w14:paraId="379F0D69" w14:textId="50154C4B" w:rsidR="00923E7B" w:rsidRDefault="00923E7B" w:rsidP="00923E7B">
      <w:pPr>
        <w:pStyle w:val="NormalWeb"/>
      </w:pPr>
    </w:p>
    <w:p w14:paraId="77E5D893" w14:textId="5ECB51F7" w:rsidR="00000889" w:rsidRDefault="00000889" w:rsidP="00000889">
      <w:pPr>
        <w:pStyle w:val="NormalWeb"/>
      </w:pPr>
    </w:p>
    <w:p w14:paraId="47984928" w14:textId="42B15D25" w:rsidR="00E84C42" w:rsidRDefault="00E84C42" w:rsidP="00E84C42">
      <w:pPr>
        <w:pStyle w:val="NormalWeb"/>
      </w:pPr>
    </w:p>
    <w:p w14:paraId="7118DE82" w14:textId="4108CF05" w:rsidR="00AA23A5" w:rsidRDefault="00AA23A5" w:rsidP="00AA23A5">
      <w:pPr>
        <w:pStyle w:val="NormalWeb"/>
      </w:pPr>
    </w:p>
    <w:p w14:paraId="2BEF81F2" w14:textId="30A07ED7" w:rsidR="00537F39" w:rsidRDefault="00537F39" w:rsidP="00537F39">
      <w:pPr>
        <w:pStyle w:val="NormalWeb"/>
      </w:pPr>
    </w:p>
    <w:p w14:paraId="5767E920" w14:textId="1D918980" w:rsidR="00D10E49" w:rsidRDefault="00D10E49" w:rsidP="00D10E49">
      <w:pPr>
        <w:pStyle w:val="NormalWeb"/>
      </w:pPr>
    </w:p>
    <w:p w14:paraId="46FDE5FE" w14:textId="2F8E8CE7" w:rsidR="001E1983" w:rsidRDefault="001E1983" w:rsidP="001E1983">
      <w:pPr>
        <w:pStyle w:val="NormalWeb"/>
      </w:pPr>
    </w:p>
    <w:p w14:paraId="44B56281" w14:textId="31C992B0" w:rsidR="00221E88" w:rsidRDefault="00221E88" w:rsidP="00221E88">
      <w:pPr>
        <w:pStyle w:val="NormalWeb"/>
      </w:pPr>
    </w:p>
    <w:p w14:paraId="1C38B89F" w14:textId="50DC66FE" w:rsidR="004E5CE3" w:rsidRDefault="004E5CE3" w:rsidP="004E5CE3">
      <w:pPr>
        <w:pStyle w:val="NormalWeb"/>
      </w:pPr>
    </w:p>
    <w:p w14:paraId="6EEE3179" w14:textId="0DD535A2" w:rsidR="00F46B9D" w:rsidRDefault="00F46B9D" w:rsidP="00F46B9D">
      <w:pPr>
        <w:pStyle w:val="NormalWeb"/>
      </w:pPr>
    </w:p>
    <w:p w14:paraId="7B72305F" w14:textId="2D775A35" w:rsidR="00E24A62" w:rsidRDefault="00E24A62" w:rsidP="00E24A62">
      <w:pPr>
        <w:pStyle w:val="NormalWeb"/>
      </w:pPr>
    </w:p>
    <w:p w14:paraId="5912DAC5" w14:textId="335EC58D" w:rsidR="00CE6D74" w:rsidRDefault="00CE6D74" w:rsidP="00CE6D74">
      <w:pPr>
        <w:pStyle w:val="NormalWeb"/>
      </w:pPr>
    </w:p>
    <w:p w14:paraId="1A2BE89A" w14:textId="7DD66948" w:rsidR="00276D8D" w:rsidRDefault="00276D8D" w:rsidP="00276D8D">
      <w:pPr>
        <w:pStyle w:val="NormalWeb"/>
      </w:pPr>
    </w:p>
    <w:p w14:paraId="59F858F7" w14:textId="1A10C722" w:rsidR="00CA03E5" w:rsidRDefault="00CA03E5" w:rsidP="00CA03E5">
      <w:pPr>
        <w:pStyle w:val="NormalWeb"/>
      </w:pPr>
    </w:p>
    <w:p w14:paraId="1DBCE458" w14:textId="6ADFA4AD" w:rsidR="005D1D08" w:rsidRDefault="005D1D08" w:rsidP="005D1D08">
      <w:pPr>
        <w:pStyle w:val="NormalWeb"/>
      </w:pPr>
    </w:p>
    <w:p w14:paraId="12611B3C" w14:textId="77777777" w:rsidR="005D1D08" w:rsidRPr="002A5C2B" w:rsidRDefault="005D1D08" w:rsidP="002A5C2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4008B9B3" w14:textId="5EF853B0" w:rsidR="00D44F93" w:rsidRDefault="00D44F93" w:rsidP="00D44F93">
      <w:pPr>
        <w:pStyle w:val="NormalWeb"/>
      </w:pPr>
    </w:p>
    <w:p w14:paraId="2F242DEA" w14:textId="7F1D19FD" w:rsidR="00886F39" w:rsidRDefault="00886F39" w:rsidP="00886F39">
      <w:pPr>
        <w:pStyle w:val="NormalWeb"/>
      </w:pPr>
    </w:p>
    <w:p w14:paraId="0B18B65F" w14:textId="294B488D" w:rsidR="00783254" w:rsidRDefault="00783254" w:rsidP="00783254">
      <w:pPr>
        <w:pStyle w:val="NormalWeb"/>
      </w:pPr>
    </w:p>
    <w:p w14:paraId="5018DA2B" w14:textId="77777777" w:rsidR="007251EF" w:rsidRDefault="007251EF"/>
    <w:sectPr w:rsidR="00725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198"/>
    <w:multiLevelType w:val="multilevel"/>
    <w:tmpl w:val="B912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20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2B"/>
    <w:rsid w:val="00000889"/>
    <w:rsid w:val="00006DB9"/>
    <w:rsid w:val="0001644B"/>
    <w:rsid w:val="00026D9A"/>
    <w:rsid w:val="00040C4F"/>
    <w:rsid w:val="00045F46"/>
    <w:rsid w:val="000476E6"/>
    <w:rsid w:val="00050E9A"/>
    <w:rsid w:val="00057337"/>
    <w:rsid w:val="000618FB"/>
    <w:rsid w:val="00063125"/>
    <w:rsid w:val="0007308F"/>
    <w:rsid w:val="00080B84"/>
    <w:rsid w:val="00091B24"/>
    <w:rsid w:val="000B0B95"/>
    <w:rsid w:val="000B60B6"/>
    <w:rsid w:val="000C6C26"/>
    <w:rsid w:val="000D66CE"/>
    <w:rsid w:val="000F1C67"/>
    <w:rsid w:val="000F4559"/>
    <w:rsid w:val="00102BB7"/>
    <w:rsid w:val="00107E43"/>
    <w:rsid w:val="00115BD8"/>
    <w:rsid w:val="00144B5E"/>
    <w:rsid w:val="001572F0"/>
    <w:rsid w:val="0016438B"/>
    <w:rsid w:val="00164476"/>
    <w:rsid w:val="0017199F"/>
    <w:rsid w:val="00186A25"/>
    <w:rsid w:val="00186EFE"/>
    <w:rsid w:val="001A0268"/>
    <w:rsid w:val="001A1556"/>
    <w:rsid w:val="001A2D7C"/>
    <w:rsid w:val="001A7388"/>
    <w:rsid w:val="001A7A35"/>
    <w:rsid w:val="001B77B9"/>
    <w:rsid w:val="001C4EB3"/>
    <w:rsid w:val="001D7F86"/>
    <w:rsid w:val="001E1983"/>
    <w:rsid w:val="001E3C94"/>
    <w:rsid w:val="001E6D59"/>
    <w:rsid w:val="001F3544"/>
    <w:rsid w:val="0020385C"/>
    <w:rsid w:val="00212331"/>
    <w:rsid w:val="00221E88"/>
    <w:rsid w:val="00224E10"/>
    <w:rsid w:val="002327B1"/>
    <w:rsid w:val="00234C39"/>
    <w:rsid w:val="00242D75"/>
    <w:rsid w:val="00276D8D"/>
    <w:rsid w:val="00277034"/>
    <w:rsid w:val="00280AB0"/>
    <w:rsid w:val="0028215E"/>
    <w:rsid w:val="002825A3"/>
    <w:rsid w:val="00292E64"/>
    <w:rsid w:val="002A5C2B"/>
    <w:rsid w:val="002B5327"/>
    <w:rsid w:val="002C3B3E"/>
    <w:rsid w:val="00300125"/>
    <w:rsid w:val="0030218E"/>
    <w:rsid w:val="00306065"/>
    <w:rsid w:val="00322E16"/>
    <w:rsid w:val="00335C62"/>
    <w:rsid w:val="003436E7"/>
    <w:rsid w:val="00343FFB"/>
    <w:rsid w:val="00362026"/>
    <w:rsid w:val="0036285F"/>
    <w:rsid w:val="00374C2E"/>
    <w:rsid w:val="00386E88"/>
    <w:rsid w:val="00390AB2"/>
    <w:rsid w:val="00395C53"/>
    <w:rsid w:val="003A64BF"/>
    <w:rsid w:val="003B042C"/>
    <w:rsid w:val="003B680F"/>
    <w:rsid w:val="003C1761"/>
    <w:rsid w:val="003D02DD"/>
    <w:rsid w:val="003E31B5"/>
    <w:rsid w:val="003E4430"/>
    <w:rsid w:val="003F0B10"/>
    <w:rsid w:val="00404E1D"/>
    <w:rsid w:val="00406AA6"/>
    <w:rsid w:val="0041132F"/>
    <w:rsid w:val="00420ECB"/>
    <w:rsid w:val="00427321"/>
    <w:rsid w:val="00427BB5"/>
    <w:rsid w:val="00430A86"/>
    <w:rsid w:val="00431227"/>
    <w:rsid w:val="004360A5"/>
    <w:rsid w:val="004450C8"/>
    <w:rsid w:val="00454076"/>
    <w:rsid w:val="00472432"/>
    <w:rsid w:val="00482C39"/>
    <w:rsid w:val="00484387"/>
    <w:rsid w:val="0048516D"/>
    <w:rsid w:val="00494EDD"/>
    <w:rsid w:val="00496709"/>
    <w:rsid w:val="004A28E6"/>
    <w:rsid w:val="004D30EB"/>
    <w:rsid w:val="004E0C98"/>
    <w:rsid w:val="004E166E"/>
    <w:rsid w:val="004E35A7"/>
    <w:rsid w:val="004E4D26"/>
    <w:rsid w:val="004E5CE3"/>
    <w:rsid w:val="00504A05"/>
    <w:rsid w:val="005154FF"/>
    <w:rsid w:val="00520805"/>
    <w:rsid w:val="00523F1B"/>
    <w:rsid w:val="00527208"/>
    <w:rsid w:val="0053420D"/>
    <w:rsid w:val="00536AA9"/>
    <w:rsid w:val="005370DF"/>
    <w:rsid w:val="00537F39"/>
    <w:rsid w:val="00541D30"/>
    <w:rsid w:val="00543662"/>
    <w:rsid w:val="00563926"/>
    <w:rsid w:val="00570564"/>
    <w:rsid w:val="00570C27"/>
    <w:rsid w:val="00570F41"/>
    <w:rsid w:val="00573F96"/>
    <w:rsid w:val="00574F0A"/>
    <w:rsid w:val="00575F38"/>
    <w:rsid w:val="00576A15"/>
    <w:rsid w:val="005770DD"/>
    <w:rsid w:val="00577755"/>
    <w:rsid w:val="00581171"/>
    <w:rsid w:val="0058146D"/>
    <w:rsid w:val="00587308"/>
    <w:rsid w:val="005B66C3"/>
    <w:rsid w:val="005C2C39"/>
    <w:rsid w:val="005C7C9C"/>
    <w:rsid w:val="005D1D08"/>
    <w:rsid w:val="00603307"/>
    <w:rsid w:val="006038CD"/>
    <w:rsid w:val="00612B43"/>
    <w:rsid w:val="006201F5"/>
    <w:rsid w:val="00640B89"/>
    <w:rsid w:val="006612C0"/>
    <w:rsid w:val="0066372C"/>
    <w:rsid w:val="00673B23"/>
    <w:rsid w:val="00680D1B"/>
    <w:rsid w:val="006946A3"/>
    <w:rsid w:val="006946C6"/>
    <w:rsid w:val="006A788B"/>
    <w:rsid w:val="006B4F15"/>
    <w:rsid w:val="006C6C50"/>
    <w:rsid w:val="006C6C95"/>
    <w:rsid w:val="006D422C"/>
    <w:rsid w:val="006D5290"/>
    <w:rsid w:val="006D6E62"/>
    <w:rsid w:val="006E504C"/>
    <w:rsid w:val="006F675A"/>
    <w:rsid w:val="0070400F"/>
    <w:rsid w:val="00710004"/>
    <w:rsid w:val="00712786"/>
    <w:rsid w:val="00715262"/>
    <w:rsid w:val="007251EF"/>
    <w:rsid w:val="00727652"/>
    <w:rsid w:val="007379C3"/>
    <w:rsid w:val="00742555"/>
    <w:rsid w:val="007433C0"/>
    <w:rsid w:val="00756C37"/>
    <w:rsid w:val="00766998"/>
    <w:rsid w:val="007746C0"/>
    <w:rsid w:val="007819DB"/>
    <w:rsid w:val="00783254"/>
    <w:rsid w:val="0078512D"/>
    <w:rsid w:val="007876D7"/>
    <w:rsid w:val="00796C26"/>
    <w:rsid w:val="007A5912"/>
    <w:rsid w:val="007B1339"/>
    <w:rsid w:val="007B307E"/>
    <w:rsid w:val="007C08B7"/>
    <w:rsid w:val="007D3DFF"/>
    <w:rsid w:val="007D4473"/>
    <w:rsid w:val="007F6BF4"/>
    <w:rsid w:val="00804C8E"/>
    <w:rsid w:val="00810E38"/>
    <w:rsid w:val="00820A83"/>
    <w:rsid w:val="0082707C"/>
    <w:rsid w:val="00830A57"/>
    <w:rsid w:val="00834EE6"/>
    <w:rsid w:val="00835D2C"/>
    <w:rsid w:val="00842C6B"/>
    <w:rsid w:val="00847FA8"/>
    <w:rsid w:val="0085102D"/>
    <w:rsid w:val="0085493F"/>
    <w:rsid w:val="0086330D"/>
    <w:rsid w:val="00864FDA"/>
    <w:rsid w:val="0088392C"/>
    <w:rsid w:val="00886F39"/>
    <w:rsid w:val="008A095B"/>
    <w:rsid w:val="008B33E0"/>
    <w:rsid w:val="008C0E76"/>
    <w:rsid w:val="008C41E9"/>
    <w:rsid w:val="008C5A3E"/>
    <w:rsid w:val="008C7DB0"/>
    <w:rsid w:val="008D4E0C"/>
    <w:rsid w:val="008F4015"/>
    <w:rsid w:val="00902A7D"/>
    <w:rsid w:val="00902FA7"/>
    <w:rsid w:val="00903BB3"/>
    <w:rsid w:val="009046DA"/>
    <w:rsid w:val="00923E7B"/>
    <w:rsid w:val="009244BB"/>
    <w:rsid w:val="0092589A"/>
    <w:rsid w:val="009320FB"/>
    <w:rsid w:val="00932923"/>
    <w:rsid w:val="00935801"/>
    <w:rsid w:val="0094070A"/>
    <w:rsid w:val="009408F3"/>
    <w:rsid w:val="00950C66"/>
    <w:rsid w:val="0095311F"/>
    <w:rsid w:val="00962DB0"/>
    <w:rsid w:val="00963CEC"/>
    <w:rsid w:val="00965E91"/>
    <w:rsid w:val="00973A38"/>
    <w:rsid w:val="00986DAF"/>
    <w:rsid w:val="009941D2"/>
    <w:rsid w:val="009A4B95"/>
    <w:rsid w:val="009A721B"/>
    <w:rsid w:val="009B4FC8"/>
    <w:rsid w:val="009B5C16"/>
    <w:rsid w:val="009E0BF2"/>
    <w:rsid w:val="009E1534"/>
    <w:rsid w:val="009E29FB"/>
    <w:rsid w:val="009F01B2"/>
    <w:rsid w:val="009F2410"/>
    <w:rsid w:val="00A07EED"/>
    <w:rsid w:val="00A25096"/>
    <w:rsid w:val="00A276E1"/>
    <w:rsid w:val="00A31B5B"/>
    <w:rsid w:val="00A3343F"/>
    <w:rsid w:val="00A40C13"/>
    <w:rsid w:val="00A424C9"/>
    <w:rsid w:val="00A52217"/>
    <w:rsid w:val="00A64440"/>
    <w:rsid w:val="00A70B8A"/>
    <w:rsid w:val="00A72C77"/>
    <w:rsid w:val="00A84112"/>
    <w:rsid w:val="00AA23A5"/>
    <w:rsid w:val="00AB67E6"/>
    <w:rsid w:val="00AD3032"/>
    <w:rsid w:val="00AD3E41"/>
    <w:rsid w:val="00AE2E7E"/>
    <w:rsid w:val="00AF24FB"/>
    <w:rsid w:val="00AF572A"/>
    <w:rsid w:val="00B152E5"/>
    <w:rsid w:val="00B31919"/>
    <w:rsid w:val="00B461AE"/>
    <w:rsid w:val="00B561AC"/>
    <w:rsid w:val="00B57022"/>
    <w:rsid w:val="00B60898"/>
    <w:rsid w:val="00B666A1"/>
    <w:rsid w:val="00B72371"/>
    <w:rsid w:val="00B824ED"/>
    <w:rsid w:val="00B830A6"/>
    <w:rsid w:val="00B86DEE"/>
    <w:rsid w:val="00BA4B54"/>
    <w:rsid w:val="00BB6C96"/>
    <w:rsid w:val="00BC50B0"/>
    <w:rsid w:val="00BC729E"/>
    <w:rsid w:val="00BD10C7"/>
    <w:rsid w:val="00BD6CDD"/>
    <w:rsid w:val="00BF6B84"/>
    <w:rsid w:val="00C22E5C"/>
    <w:rsid w:val="00C3100E"/>
    <w:rsid w:val="00C317D8"/>
    <w:rsid w:val="00C31C90"/>
    <w:rsid w:val="00C60196"/>
    <w:rsid w:val="00C769EA"/>
    <w:rsid w:val="00C778BA"/>
    <w:rsid w:val="00C9159A"/>
    <w:rsid w:val="00C9186F"/>
    <w:rsid w:val="00C91F53"/>
    <w:rsid w:val="00C944A2"/>
    <w:rsid w:val="00C95667"/>
    <w:rsid w:val="00CA03E5"/>
    <w:rsid w:val="00CA784B"/>
    <w:rsid w:val="00CA7B58"/>
    <w:rsid w:val="00CB5733"/>
    <w:rsid w:val="00CC39EC"/>
    <w:rsid w:val="00CC7D33"/>
    <w:rsid w:val="00CD0118"/>
    <w:rsid w:val="00CE6D74"/>
    <w:rsid w:val="00CF1DF3"/>
    <w:rsid w:val="00CF714D"/>
    <w:rsid w:val="00D03954"/>
    <w:rsid w:val="00D06532"/>
    <w:rsid w:val="00D10E49"/>
    <w:rsid w:val="00D22968"/>
    <w:rsid w:val="00D2416B"/>
    <w:rsid w:val="00D421F9"/>
    <w:rsid w:val="00D43312"/>
    <w:rsid w:val="00D44F93"/>
    <w:rsid w:val="00D77296"/>
    <w:rsid w:val="00D91274"/>
    <w:rsid w:val="00DA5F5E"/>
    <w:rsid w:val="00DA71AC"/>
    <w:rsid w:val="00DA79D4"/>
    <w:rsid w:val="00DB2D19"/>
    <w:rsid w:val="00DB38BB"/>
    <w:rsid w:val="00DC0175"/>
    <w:rsid w:val="00DC5EBD"/>
    <w:rsid w:val="00DC7C5F"/>
    <w:rsid w:val="00DD1E89"/>
    <w:rsid w:val="00DD6FF2"/>
    <w:rsid w:val="00DF50EC"/>
    <w:rsid w:val="00E02400"/>
    <w:rsid w:val="00E14A31"/>
    <w:rsid w:val="00E16CB9"/>
    <w:rsid w:val="00E24A62"/>
    <w:rsid w:val="00E31769"/>
    <w:rsid w:val="00E32B31"/>
    <w:rsid w:val="00E47C99"/>
    <w:rsid w:val="00E57A1A"/>
    <w:rsid w:val="00E7652E"/>
    <w:rsid w:val="00E77901"/>
    <w:rsid w:val="00E83F20"/>
    <w:rsid w:val="00E8415A"/>
    <w:rsid w:val="00E84C42"/>
    <w:rsid w:val="00EA475D"/>
    <w:rsid w:val="00EA701D"/>
    <w:rsid w:val="00EB5292"/>
    <w:rsid w:val="00EB684F"/>
    <w:rsid w:val="00EC01A8"/>
    <w:rsid w:val="00EC3643"/>
    <w:rsid w:val="00ED0176"/>
    <w:rsid w:val="00ED27DA"/>
    <w:rsid w:val="00EE0AAF"/>
    <w:rsid w:val="00EE322D"/>
    <w:rsid w:val="00EF77D6"/>
    <w:rsid w:val="00F10853"/>
    <w:rsid w:val="00F30A67"/>
    <w:rsid w:val="00F36407"/>
    <w:rsid w:val="00F36CAD"/>
    <w:rsid w:val="00F37A7C"/>
    <w:rsid w:val="00F4168F"/>
    <w:rsid w:val="00F46B9D"/>
    <w:rsid w:val="00F56A62"/>
    <w:rsid w:val="00F609BE"/>
    <w:rsid w:val="00F6640D"/>
    <w:rsid w:val="00F86860"/>
    <w:rsid w:val="00F946D5"/>
    <w:rsid w:val="00FB7EB9"/>
    <w:rsid w:val="00FC015D"/>
    <w:rsid w:val="00FD7B10"/>
    <w:rsid w:val="00FF553C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C03C"/>
  <w15:chartTrackingRefBased/>
  <w15:docId w15:val="{7913DA96-E422-4AE5-965F-7B69122B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Gomez</dc:creator>
  <cp:keywords/>
  <dc:description/>
  <cp:lastModifiedBy>Martinez Guzman Carlos Aristoteles</cp:lastModifiedBy>
  <cp:revision>2</cp:revision>
  <dcterms:created xsi:type="dcterms:W3CDTF">2024-08-19T15:22:00Z</dcterms:created>
  <dcterms:modified xsi:type="dcterms:W3CDTF">2024-08-19T15:22:00Z</dcterms:modified>
</cp:coreProperties>
</file>